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85" w:lineRule="auto"/>
        <w:ind w:left="1125" w:right="548" w:hanging="949"/>
        <w:jc w:val="center"/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color w:val="FF0000"/>
          <w:spacing w:val="-75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四 川 外 国 语 </w:t>
      </w:r>
      <w:r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大</w:t>
      </w:r>
      <w:r>
        <w:rPr>
          <w:rFonts w:hint="eastAsia"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学</w:t>
      </w:r>
    </w:p>
    <w:p>
      <w:pPr>
        <w:spacing w:before="234" w:line="285" w:lineRule="auto"/>
        <w:ind w:left="1125" w:right="548" w:hanging="949"/>
        <w:jc w:val="center"/>
        <w:rPr>
          <w:rFonts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评 建 办 公 </w:t>
      </w:r>
      <w:r>
        <w:rPr>
          <w:rFonts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室 文 件</w:t>
      </w:r>
    </w:p>
    <w:p>
      <w:pPr>
        <w:spacing w:line="466" w:lineRule="auto"/>
      </w:pPr>
    </w:p>
    <w:p>
      <w:pPr>
        <w:spacing w:before="104" w:line="215" w:lineRule="auto"/>
        <w:ind w:left="266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川外</w:t>
      </w:r>
      <w:r>
        <w:rPr>
          <w:rFonts w:ascii="仿宋" w:hAnsi="仿宋" w:eastAsia="仿宋" w:cs="仿宋"/>
          <w:sz w:val="32"/>
          <w:szCs w:val="32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ascii="仿宋" w:hAnsi="仿宋" w:eastAsia="仿宋" w:cs="仿宋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spacing w:before="169" w:line="71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605780" cy="45720"/>
                <wp:effectExtent l="14605" t="2540" r="18415" b="8890"/>
                <wp:docPr id="1170065533" name="任意多边形: 形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5720"/>
                        </a:xfrm>
                        <a:custGeom>
                          <a:avLst/>
                          <a:gdLst>
                            <a:gd name="T0" fmla="*/ 0 w 8827"/>
                            <a:gd name="T1" fmla="*/ 20 h 71"/>
                            <a:gd name="T2" fmla="*/ 8827 w 8827"/>
                            <a:gd name="T3" fmla="*/ 5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27" h="71">
                              <a:moveTo>
                                <a:pt x="0" y="20"/>
                              </a:moveTo>
                              <a:lnTo>
                                <a:pt x="8827" y="5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1" o:spid="_x0000_s1026" o:spt="100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Yduqy0wAAAAMBAAAPAAAAAAAAAAEAIAAAACIAAABkcnMvZG93&#10;bnJldi54bWxQSwECFAAUAAAACACHTuJAkFJfLekCAAAOBgAADgAAAAAAAAABACAAAAAiAQAAZHJz&#10;L2Uyb0RvYy54bWxQSwUGAAAAAAYABgBZAQAAfQYAAAAA&#10;" path="m0,20l8827,51e">
                <v:path o:connectlocs="0,12878;5605780,32841" o:connectangles="0,0"/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438" w:lineRule="auto"/>
        <w:jc w:val="center"/>
      </w:pPr>
    </w:p>
    <w:p>
      <w:pPr>
        <w:jc w:val="center"/>
        <w:rPr>
          <w:rFonts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关于进一步补充提供审核评估《自评报告》支撑材料的通知</w:t>
      </w:r>
      <w:bookmarkEnd w:id="0"/>
    </w:p>
    <w:p>
      <w:pPr>
        <w:spacing w:line="596" w:lineRule="exact"/>
        <w:ind w:left="1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spacing w:line="360" w:lineRule="auto"/>
        <w:jc w:val="both"/>
        <w:rPr>
          <w:rFonts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校内各二级单位：</w:t>
      </w:r>
    </w:p>
    <w:p>
      <w:pPr>
        <w:spacing w:line="360" w:lineRule="auto"/>
        <w:ind w:firstLine="592" w:firstLineChars="200"/>
        <w:jc w:val="both"/>
        <w:rPr>
          <w:rFonts w:ascii="Times New Roman" w:hAnsi="Times New Roman" w:eastAsia="仿宋" w:cs="Times New Roman"/>
          <w:spacing w:val="-20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学校审核评估《自评报告》的支撑材料是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用于支撑或</w:t>
      </w:r>
      <w:r>
        <w:rPr>
          <w:rFonts w:hint="eastAsia" w:ascii="仿宋" w:hAnsi="仿宋" w:eastAsia="仿宋" w:cs="仿宋"/>
          <w:color w:val="111111"/>
          <w:spacing w:val="-12"/>
          <w:sz w:val="32"/>
          <w:szCs w:val="32"/>
        </w:rPr>
        <w:t>佐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证</w:t>
      </w:r>
      <w:r>
        <w:rPr>
          <w:rFonts w:hint="eastAsia" w:ascii="仿宋" w:hAnsi="仿宋" w:eastAsia="仿宋" w:cs="仿宋"/>
          <w:color w:val="111111"/>
          <w:spacing w:val="-12"/>
          <w:sz w:val="32"/>
          <w:szCs w:val="32"/>
        </w:rPr>
        <w:t>《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自评报告</w:t>
      </w:r>
      <w:r>
        <w:rPr>
          <w:rFonts w:hint="eastAsia" w:ascii="仿宋" w:hAnsi="仿宋" w:eastAsia="仿宋" w:cs="仿宋"/>
          <w:color w:val="111111"/>
          <w:spacing w:val="-12"/>
          <w:sz w:val="32"/>
          <w:szCs w:val="32"/>
        </w:rPr>
        <w:t>》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所述内容</w:t>
      </w:r>
      <w:r>
        <w:rPr>
          <w:rFonts w:hint="eastAsia" w:ascii="仿宋" w:hAnsi="仿宋" w:eastAsia="仿宋" w:cs="仿宋"/>
          <w:color w:val="111111"/>
          <w:spacing w:val="-12"/>
          <w:sz w:val="32"/>
          <w:szCs w:val="32"/>
        </w:rPr>
        <w:t>事实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111111"/>
          <w:spacing w:val="-12"/>
          <w:sz w:val="32"/>
          <w:szCs w:val="32"/>
        </w:rPr>
        <w:t>重要</w:t>
      </w:r>
      <w:r>
        <w:rPr>
          <w:rFonts w:ascii="仿宋" w:hAnsi="仿宋" w:eastAsia="仿宋" w:cs="仿宋"/>
          <w:color w:val="111111"/>
          <w:spacing w:val="-12"/>
          <w:sz w:val="32"/>
          <w:szCs w:val="32"/>
        </w:rPr>
        <w:t>材料。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前期，学校评建办开展了自评自建系统资料上传工作，为《自评报告》的前期撰写提供了支撑。目前，学校《自评报告》撰写组及其支撑材料工作组正对人才培养的举措、成效、特色等进行系统整理，发现《自评报告》部分内容的支撑材料还比较薄弱，有些内容甚至缺失相应的支撑材料。为进一步夯实支撑材料对审核评估内容的支撑作用，根据学校审核评估领导小组意见，请校内相关职能部门、各教学单位根据评建办相关需求，进一步补充和提供支撑材料</w:t>
      </w:r>
      <w:r>
        <w:rPr>
          <w:rFonts w:ascii="Times New Roman" w:hAnsi="Times New Roman" w:eastAsia="仿宋" w:cs="Times New Roman"/>
          <w:spacing w:val="-20"/>
          <w:w w:val="99"/>
          <w:sz w:val="32"/>
          <w:szCs w:val="32"/>
        </w:rPr>
        <w:t>。</w:t>
      </w:r>
    </w:p>
    <w:p>
      <w:pPr>
        <w:spacing w:line="360" w:lineRule="auto"/>
        <w:ind w:firstLine="552" w:firstLineChars="200"/>
        <w:jc w:val="both"/>
        <w:rPr>
          <w:rFonts w:ascii="Times New Roman" w:hAnsi="Times New Roman" w:eastAsia="仿宋" w:cs="Times New Roman"/>
          <w:spacing w:val="-12"/>
          <w:w w:val="98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20"/>
          <w:w w:val="99"/>
          <w:sz w:val="32"/>
          <w:szCs w:val="32"/>
        </w:rPr>
        <w:t>请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相关职能部门、各教学单位对照附件1、附件2中的材料清单，认领各自工作任务，按时、按需求提交相关支撑材料</w:t>
      </w:r>
      <w:r>
        <w:rPr>
          <w:rFonts w:hint="eastAsia" w:ascii="Times New Roman" w:hAnsi="Times New Roman" w:eastAsia="仿宋" w:cs="Times New Roman"/>
          <w:spacing w:val="-12"/>
          <w:w w:val="98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pacing w:val="-20"/>
          <w:w w:val="99"/>
          <w:sz w:val="32"/>
          <w:szCs w:val="32"/>
        </w:rPr>
        <w:t>确保学校审核评估《自评报告》及其支撑材料工作的顺利</w:t>
      </w:r>
      <w:r>
        <w:rPr>
          <w:rFonts w:hint="eastAsia" w:ascii="仿宋" w:hAnsi="仿宋" w:eastAsia="仿宋" w:cs="仿宋"/>
          <w:spacing w:val="-20"/>
          <w:w w:val="99"/>
          <w:sz w:val="32"/>
          <w:szCs w:val="32"/>
        </w:rPr>
        <w:t>推进</w:t>
      </w:r>
      <w:r>
        <w:rPr>
          <w:rFonts w:hint="eastAsia" w:ascii="Times New Roman" w:hAnsi="Times New Roman" w:eastAsia="仿宋" w:cs="Times New Roman"/>
          <w:spacing w:val="-12"/>
          <w:w w:val="98"/>
          <w:sz w:val="32"/>
          <w:szCs w:val="32"/>
        </w:rPr>
        <w:t>。</w:t>
      </w:r>
    </w:p>
    <w:p>
      <w:pPr>
        <w:spacing w:line="596" w:lineRule="exact"/>
        <w:ind w:firstLine="592" w:firstLineChars="200"/>
        <w:rPr>
          <w:rFonts w:ascii="Times New Roman" w:hAnsi="Times New Roman" w:eastAsia="仿宋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sz w:val="32"/>
          <w:szCs w:val="32"/>
        </w:rPr>
        <w:t>附件：</w:t>
      </w:r>
    </w:p>
    <w:p>
      <w:pPr>
        <w:spacing w:line="596" w:lineRule="exact"/>
        <w:ind w:firstLine="1120" w:firstLineChars="400"/>
        <w:rPr>
          <w:rFonts w:ascii="Times New Roman" w:hAnsi="Times New Roman" w:eastAsia="仿宋" w:cs="Times New Roman"/>
          <w:spacing w:val="-12"/>
          <w:w w:val="95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w w:val="95"/>
          <w:sz w:val="32"/>
          <w:szCs w:val="32"/>
        </w:rPr>
        <w:t>1.相关职能部门提供-审核评估支撑材料补充材料清单+模板</w:t>
      </w:r>
    </w:p>
    <w:p>
      <w:pPr>
        <w:spacing w:line="596" w:lineRule="exact"/>
        <w:ind w:firstLine="1184" w:firstLineChars="400"/>
        <w:rPr>
          <w:rFonts w:ascii="Times New Roman" w:hAnsi="Times New Roman" w:eastAsia="仿宋" w:cs="Times New Roman"/>
          <w:spacing w:val="-12"/>
          <w:w w:val="95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-12"/>
          <w:sz w:val="32"/>
          <w:szCs w:val="32"/>
        </w:rPr>
        <w:t>2.教学单位</w:t>
      </w:r>
      <w:r>
        <w:rPr>
          <w:rFonts w:hint="eastAsia" w:ascii="Times New Roman" w:hAnsi="Times New Roman" w:eastAsia="仿宋" w:cs="Times New Roman"/>
          <w:spacing w:val="-12"/>
          <w:w w:val="95"/>
          <w:sz w:val="32"/>
          <w:szCs w:val="32"/>
        </w:rPr>
        <w:t>提供-审核评估支撑材料补充材料清单+模板</w:t>
      </w:r>
    </w:p>
    <w:p>
      <w:pPr>
        <w:spacing w:line="596" w:lineRule="exact"/>
        <w:ind w:firstLine="1120" w:firstLineChars="400"/>
        <w:rPr>
          <w:rFonts w:ascii="Times New Roman" w:hAnsi="Times New Roman" w:eastAsia="仿宋" w:cs="Times New Roman"/>
          <w:spacing w:val="-12"/>
          <w:w w:val="95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360" w:lineRule="auto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四川外国语大学</w:t>
      </w:r>
      <w:r>
        <w:rPr>
          <w:rFonts w:hint="eastAsia" w:ascii="Times New Roman" w:hAnsi="Times New Roman" w:eastAsia="仿宋" w:cs="Times New Roman"/>
          <w:sz w:val="32"/>
          <w:szCs w:val="32"/>
        </w:rPr>
        <w:t>本科教育教学审核评估与建设</w:t>
      </w:r>
      <w:r>
        <w:rPr>
          <w:rFonts w:ascii="Times New Roman" w:hAnsi="Times New Roman" w:eastAsia="仿宋" w:cs="Times New Roman"/>
          <w:sz w:val="32"/>
          <w:szCs w:val="32"/>
        </w:rPr>
        <w:t>办公室</w:t>
      </w:r>
    </w:p>
    <w:p>
      <w:pPr>
        <w:tabs>
          <w:tab w:val="left" w:pos="5397"/>
        </w:tabs>
        <w:spacing w:line="596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（教育规划与评估院</w:t>
      </w:r>
      <w:r>
        <w:rPr>
          <w:rFonts w:ascii="仿宋" w:hAnsi="仿宋" w:eastAsia="仿宋" w:cs="仿宋"/>
          <w:sz w:val="32"/>
          <w:szCs w:val="32"/>
        </w:rPr>
        <w:t>代章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96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2023年7月</w:t>
      </w:r>
      <w:r>
        <w:rPr>
          <w:rFonts w:hint="eastAsia" w:ascii="Times New Roman" w:hAnsi="Times New Roman" w:eastAsia="仿宋" w:cs="Times New Roman"/>
          <w:sz w:val="32"/>
          <w:szCs w:val="32"/>
        </w:rPr>
        <w:t>18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936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936" w:lineRule="exact"/>
        <w:rPr>
          <w:rFonts w:ascii="Times New Roman" w:hAnsi="Times New Roman" w:cs="Times New Roman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897890</wp:posOffset>
            </wp:positionH>
            <wp:positionV relativeFrom="page">
              <wp:posOffset>8806180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941705</wp:posOffset>
            </wp:positionH>
            <wp:positionV relativeFrom="page">
              <wp:posOffset>9456420</wp:posOffset>
            </wp:positionV>
            <wp:extent cx="5654040" cy="8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28"/>
          <w:szCs w:val="28"/>
        </w:rPr>
        <w:t>四川外国语大学评建办公室                  2023年7月</w:t>
      </w:r>
      <w:r>
        <w:rPr>
          <w:rFonts w:hint="eastAsia"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Times New Roman" w:eastAsia="仿宋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2501971"/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zh-CN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TdiOTcwMDBkYTBlMDk2MjAwODUyYzg0Y2ZjNjUifQ=="/>
  </w:docVars>
  <w:rsids>
    <w:rsidRoot w:val="001D5092"/>
    <w:rsid w:val="00044D48"/>
    <w:rsid w:val="00065F56"/>
    <w:rsid w:val="00081F34"/>
    <w:rsid w:val="000B77C9"/>
    <w:rsid w:val="00103CB0"/>
    <w:rsid w:val="001126D5"/>
    <w:rsid w:val="00115CF8"/>
    <w:rsid w:val="00141D25"/>
    <w:rsid w:val="001D5092"/>
    <w:rsid w:val="0025674C"/>
    <w:rsid w:val="00263664"/>
    <w:rsid w:val="0028556C"/>
    <w:rsid w:val="002A2EF5"/>
    <w:rsid w:val="002D3854"/>
    <w:rsid w:val="002D3E7B"/>
    <w:rsid w:val="002D525D"/>
    <w:rsid w:val="00304F5E"/>
    <w:rsid w:val="003347ED"/>
    <w:rsid w:val="00370282"/>
    <w:rsid w:val="00380649"/>
    <w:rsid w:val="00391C2C"/>
    <w:rsid w:val="003A2A0B"/>
    <w:rsid w:val="004010E4"/>
    <w:rsid w:val="00401988"/>
    <w:rsid w:val="004877D8"/>
    <w:rsid w:val="0049239D"/>
    <w:rsid w:val="004A60B6"/>
    <w:rsid w:val="004D039B"/>
    <w:rsid w:val="005265C0"/>
    <w:rsid w:val="0056337A"/>
    <w:rsid w:val="0056590B"/>
    <w:rsid w:val="00582150"/>
    <w:rsid w:val="00583A4D"/>
    <w:rsid w:val="005A040B"/>
    <w:rsid w:val="006305BC"/>
    <w:rsid w:val="006B2890"/>
    <w:rsid w:val="006C6D48"/>
    <w:rsid w:val="006D08F1"/>
    <w:rsid w:val="006D434C"/>
    <w:rsid w:val="007248A3"/>
    <w:rsid w:val="007409EB"/>
    <w:rsid w:val="0078059F"/>
    <w:rsid w:val="00863138"/>
    <w:rsid w:val="008B0D56"/>
    <w:rsid w:val="008D16D6"/>
    <w:rsid w:val="009B5B03"/>
    <w:rsid w:val="009F43EB"/>
    <w:rsid w:val="00A21018"/>
    <w:rsid w:val="00A6459E"/>
    <w:rsid w:val="00A8346C"/>
    <w:rsid w:val="00A84874"/>
    <w:rsid w:val="00AC5EDF"/>
    <w:rsid w:val="00B20901"/>
    <w:rsid w:val="00B43A8C"/>
    <w:rsid w:val="00B6597B"/>
    <w:rsid w:val="00BB0C87"/>
    <w:rsid w:val="00BE0235"/>
    <w:rsid w:val="00C568D2"/>
    <w:rsid w:val="00D26785"/>
    <w:rsid w:val="00DA26DF"/>
    <w:rsid w:val="00DB29B0"/>
    <w:rsid w:val="00DC51DD"/>
    <w:rsid w:val="00DD3987"/>
    <w:rsid w:val="00E57046"/>
    <w:rsid w:val="00EB5B3F"/>
    <w:rsid w:val="00F14113"/>
    <w:rsid w:val="160C3BB5"/>
    <w:rsid w:val="2CA175CF"/>
    <w:rsid w:val="347766F6"/>
    <w:rsid w:val="48885AAA"/>
    <w:rsid w:val="48BC529A"/>
    <w:rsid w:val="5CD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Arial" w:hAnsi="Arial" w:cs="Arial" w:eastAsiaTheme="minorEastAsia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46A7E-7277-4BA9-89B5-3C7516312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22</TotalTime>
  <ScaleCrop>false</ScaleCrop>
  <LinksUpToDate>false</LinksUpToDate>
  <CharactersWithSpaces>576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2023-06-30T11:01:00Z</dcterms:created>
  <dc:creator>CJJ</dc:creator>
  <cp:lastModifiedBy>MS.Lolita</cp:lastModifiedBy>
  <dcterms:modified xsi:type="dcterms:W3CDTF">2023-07-19T01:34:46Z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711C8AC98C4543459ACDB681B4CDFC27_13</vt:lpwstr>
  </property>
</Properties>
</file>