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mc:AlternateContent>
          <mc:Choice Requires="wps">
            <w:drawing>
              <wp:inline distT="0" distB="0" distL="114300" distR="114300">
                <wp:extent cx="5605780" cy="45720"/>
                <wp:effectExtent l="0" t="0" r="0" b="0"/>
                <wp:docPr id="1170065533" name="任意多边形 117006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5720"/>
                        </a:xfrm>
                        <a:custGeom>
                          <a:avLst/>
                          <a:gdLst>
                            <a:gd name="T0" fmla="*/ 0 w 8827"/>
                            <a:gd name="T1" fmla="*/ 20 h 71"/>
                            <a:gd name="T2" fmla="*/ 8827 w 8827"/>
                            <a:gd name="T3" fmla="*/ 5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27" h="71">
                              <a:moveTo>
                                <a:pt x="0" y="20"/>
                              </a:moveTo>
                              <a:lnTo>
                                <a:pt x="8827" y="5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Yduqy0wAAAAMBAAAPAAAAAAAAAAEAIAAAACIAAABkcnMvZG93&#10;bnJldi54bWxQSwECFAAUAAAACACHTuJAQHyjBOkCAAAdBgAADgAAAAAAAAABACAAAAAiAQAAZHJz&#10;L2Uyb0RvYy54bWxQSwUGAAAAAAYABgBZAQAAfQYAAAAA&#10;" path="m0,20l8827,51e">
                <v:path o:connectlocs="0,12878;5605780,32841" o:connectangles="0,0"/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关于组织撰写本科教育教学审核评估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分项自评报告的通知</w:t>
      </w:r>
    </w:p>
    <w:p>
      <w:pPr>
        <w:spacing w:line="586" w:lineRule="exac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586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校内相关单位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：</w:t>
      </w:r>
    </w:p>
    <w:p>
      <w:pPr>
        <w:spacing w:line="586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根据《四川外国语大学本科教育教学审核评估工作方案》《四川外国语大学审核评估工作计划（2023年）》工作安排，学校在自评自建的基础上将开展本科教育教学审核评估自评报告（以下简称“自评报告”）撰写工作。为全面梳理学校人才培养情况、高度凝练办学特色优势，扎实推进自评报告撰写工作，现就分项自评报告工作安排如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eastAsia="zh-CN"/>
        </w:rPr>
        <w:t>基本原则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以数据、事实为依据。遵循实证性原则，以教育部本科教学基本状态数据为基础，强化人才培养质量主体地位，强化质量保障体系建设，突出立德树人成效。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突出内涵建设、特色发展。深刻理解并把握审核评估的指导思想、审核重点，围绕学校办学定位与目标，展示本科教育教学改革的成效，突出学校内涵与特色优势。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找准问题和薄弱环节。深入查摆问题，确定整改目标及具体措施，问题原因分析具体深入，改进措施可行有效。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二、分工及时间安排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分项自评报告撰写依据《四川外国语大学审核评估自评自建系统支撑材料任务分解表》，采用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指标层级负责制度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15" w:firstLineChars="200"/>
        <w:jc w:val="left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三级指标任务分解责任单位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firstLine="612" w:firstLineChars="200"/>
        <w:jc w:val="left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 按照三级指标任务分解指标点撰写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800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字以上指标描述，其中问题描述、存在原因及下一步整改措施不少于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200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字；梳理并在指标描述文段后附本三级指标描述对应的《自评报告》支撑材料清单。文字材料、对应支撑材料电子版及纸质版提交至二级指标责任单位（5月6日前）。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leftChars="0" w:firstLine="615" w:firstLineChars="200"/>
        <w:jc w:val="left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二级指标责任单位（27个）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按照二级指标点汇总、整合、修订三级指标描述、《自评报告》支撑材料清单；按二级指标点整合问题描述、存在原因及下一步整改措施，，将电子版和纸质版材料提交至一级指标责任单位（5月13日前）。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leftChars="0" w:firstLine="615" w:firstLineChars="200"/>
        <w:jc w:val="left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一级指标责任单位（7个）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审订二级指标责任单位提交的材料，按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一级指标为一级标题、二级指标为二级标题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汇总，并凝练一级指标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概述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，形成“一级指标—一级指标概述—二级指标—三级指标—三级指标描述—支撑材料清单—二级指标存在问题、问题原因分析及整改措施”形式的分项自评报告（模板见附件1），将电子版和纸质版材料提交至教育规划与评估院（5月20日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32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三、撰写要求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基本架构。以审核评估第二类第一种指标体系为基本遵循，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三级指标以“工作思路—实际措施—实际效果”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为内容形成指标描述。各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二级指标点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在指标描述的基础上，查摆问题并提出改进措施，篇幅占该指标点文字篇幅的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三分之一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内容要求。内容和素材尽可能全面，涵盖审核评估各级指标内容。素材遴选应具有针对性，充分展现工作实效、特色亮点。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both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时间要求。系统总结近三年学校教育教学改革与建设的经验与成效。经费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、图书、教研成果、仪器设备总值等数据应按照自然年统计（2020年1月1日—2022年12月31日)，其它教学数据按学年统计(2020—2021学年第一学期至2022—2023年第二学期)。体现年度变化的数据，可列近三年（或学年）比较分析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4. 文风要求。要求文风朴实，事实支撑、数据说话、陈述客观、重点突出、逻辑清晰、前后贯通，撰写要处理好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自评报告与教学基本状态数据、教学档案统计数据、支撑材料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的对应及印证关系。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32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四、工作要求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both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审核评估自评报告是对学校本科教育教学工作的全面总结，是评估专家对学校开展审核评估的主要依据之一，是审核评估“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1+3+3”报告的关键材料，各单位应高度重视分项自评报告撰写工作，对照责任指标点系统梳理、认真总结，确保撰写内容体现学校办学的特色亮点。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both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各级指标描述、分项报告等材料提交至上一级指标责任单位，须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OA 报送word电子版，同时提交单位负责人审核签字、加盖公章的纸质版。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联系人：陈娟娟   联系电话：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65912938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四川外国语大学本科教育教学审核评估自评报告（模板）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      2.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审核评估自评报告各要素样例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1028065</wp:posOffset>
            </wp:positionH>
            <wp:positionV relativeFrom="page">
              <wp:posOffset>9364980</wp:posOffset>
            </wp:positionV>
            <wp:extent cx="5654040" cy="8890"/>
            <wp:effectExtent l="0" t="0" r="0" b="0"/>
            <wp:wrapNone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9679940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DDCA9"/>
    <w:multiLevelType w:val="singleLevel"/>
    <w:tmpl w:val="C01DDC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TQ4ZDkyODU4YzAzMzM1NjU2MjlhZWU3YmY1NjQifQ=="/>
  </w:docVars>
  <w:rsids>
    <w:rsidRoot w:val="00000000"/>
    <w:rsid w:val="048B4AB6"/>
    <w:rsid w:val="156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1607</Characters>
  <Lines>0</Lines>
  <Paragraphs>0</Paragraphs>
  <TotalTime>3</TotalTime>
  <ScaleCrop>false</ScaleCrop>
  <LinksUpToDate>false</LinksUpToDate>
  <CharactersWithSpaces>1664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预见</cp:lastModifiedBy>
  <dcterms:modified xsi:type="dcterms:W3CDTF">2023-06-28T00:49:52Z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A6118AC421CA403A8466FD85BD497A7C_13</vt:lpwstr>
  </property>
</Properties>
</file>