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234" w:line="285" w:lineRule="auto"/>
        <w:ind w:left="1125" w:right="548" w:hanging="949"/>
        <w:jc w:val="center"/>
        <w:textAlignment w:val="baseline"/>
        <w:rPr>
          <w:rFonts w:ascii="宋体" w:hAnsi="宋体" w:eastAsia="宋体" w:cs="宋体"/>
          <w:b/>
          <w:bCs/>
          <w:snapToGrid w:val="0"/>
          <w:color w:val="FF0000"/>
          <w:spacing w:val="-74"/>
          <w:kern w:val="0"/>
          <w:sz w:val="88"/>
          <w:szCs w:val="88"/>
        </w:rPr>
      </w:pPr>
      <w:r>
        <w:rPr>
          <w:rFonts w:hint="eastAsia" w:ascii="宋体" w:hAnsi="宋体" w:eastAsia="宋体" w:cs="宋体"/>
          <w:b/>
          <w:bCs/>
          <w:snapToGrid w:val="0"/>
          <w:color w:val="FF0000"/>
          <w:spacing w:val="-75"/>
          <w:kern w:val="0"/>
          <w:sz w:val="88"/>
          <w:szCs w:val="88"/>
        </w:rPr>
        <w:t xml:space="preserve">四 川 外 国 语 </w:t>
      </w:r>
      <w:r>
        <w:rPr>
          <w:rFonts w:ascii="宋体" w:hAnsi="宋体" w:eastAsia="宋体" w:cs="宋体"/>
          <w:b/>
          <w:bCs/>
          <w:snapToGrid w:val="0"/>
          <w:color w:val="FF0000"/>
          <w:spacing w:val="-74"/>
          <w:kern w:val="0"/>
          <w:sz w:val="88"/>
          <w:szCs w:val="88"/>
        </w:rPr>
        <w:t>大</w:t>
      </w:r>
      <w:r>
        <w:rPr>
          <w:rFonts w:hint="eastAsia" w:ascii="宋体" w:hAnsi="宋体" w:eastAsia="宋体" w:cs="宋体"/>
          <w:b/>
          <w:bCs/>
          <w:snapToGrid w:val="0"/>
          <w:color w:val="FF0000"/>
          <w:spacing w:val="-74"/>
          <w:kern w:val="0"/>
          <w:sz w:val="88"/>
          <w:szCs w:val="88"/>
        </w:rPr>
        <w:t xml:space="preserve"> </w:t>
      </w:r>
      <w:r>
        <w:rPr>
          <w:rFonts w:ascii="宋体" w:hAnsi="宋体" w:eastAsia="宋体" w:cs="宋体"/>
          <w:b/>
          <w:bCs/>
          <w:snapToGrid w:val="0"/>
          <w:color w:val="FF0000"/>
          <w:spacing w:val="-74"/>
          <w:kern w:val="0"/>
          <w:sz w:val="88"/>
          <w:szCs w:val="88"/>
        </w:rPr>
        <w:t>学</w:t>
      </w:r>
    </w:p>
    <w:p>
      <w:pPr>
        <w:widowControl/>
        <w:kinsoku w:val="0"/>
        <w:autoSpaceDE w:val="0"/>
        <w:autoSpaceDN w:val="0"/>
        <w:adjustRightInd w:val="0"/>
        <w:snapToGrid w:val="0"/>
        <w:spacing w:before="234" w:line="285" w:lineRule="auto"/>
        <w:ind w:left="1125" w:right="548" w:hanging="949"/>
        <w:jc w:val="center"/>
        <w:textAlignment w:val="baseline"/>
        <w:rPr>
          <w:rFonts w:ascii="宋体" w:hAnsi="宋体" w:eastAsia="宋体" w:cs="宋体"/>
          <w:b/>
          <w:bCs/>
          <w:snapToGrid w:val="0"/>
          <w:color w:val="FF0000"/>
          <w:spacing w:val="-67"/>
          <w:kern w:val="0"/>
          <w:sz w:val="88"/>
          <w:szCs w:val="88"/>
        </w:rPr>
      </w:pPr>
      <w:r>
        <w:rPr>
          <w:rFonts w:hint="eastAsia" w:ascii="宋体" w:hAnsi="宋体" w:eastAsia="宋体" w:cs="宋体"/>
          <w:b/>
          <w:bCs/>
          <w:snapToGrid w:val="0"/>
          <w:color w:val="FF0000"/>
          <w:spacing w:val="-67"/>
          <w:kern w:val="0"/>
          <w:sz w:val="88"/>
          <w:szCs w:val="88"/>
        </w:rPr>
        <w:t xml:space="preserve">评 建 办 公 </w:t>
      </w:r>
      <w:r>
        <w:rPr>
          <w:rFonts w:ascii="宋体" w:hAnsi="宋体" w:eastAsia="宋体" w:cs="宋体"/>
          <w:b/>
          <w:bCs/>
          <w:snapToGrid w:val="0"/>
          <w:color w:val="FF0000"/>
          <w:spacing w:val="-67"/>
          <w:kern w:val="0"/>
          <w:sz w:val="88"/>
          <w:szCs w:val="88"/>
        </w:rPr>
        <w:t>室 文 件</w:t>
      </w:r>
    </w:p>
    <w:p>
      <w:pPr>
        <w:widowControl/>
        <w:kinsoku w:val="0"/>
        <w:autoSpaceDE w:val="0"/>
        <w:autoSpaceDN w:val="0"/>
        <w:adjustRightInd w:val="0"/>
        <w:snapToGrid w:val="0"/>
        <w:spacing w:line="466" w:lineRule="auto"/>
        <w:jc w:val="left"/>
        <w:textAlignment w:val="baseline"/>
        <w:rPr>
          <w:rFonts w:ascii="Arial" w:hAnsi="Arial" w:eastAsia="等线" w:cs="Arial"/>
          <w:snapToGrid w:val="0"/>
          <w:color w:val="000000"/>
          <w:kern w:val="0"/>
          <w:szCs w:val="21"/>
        </w:rPr>
      </w:pPr>
    </w:p>
    <w:p>
      <w:pPr>
        <w:widowControl/>
        <w:kinsoku w:val="0"/>
        <w:autoSpaceDE w:val="0"/>
        <w:autoSpaceDN w:val="0"/>
        <w:adjustRightInd w:val="0"/>
        <w:snapToGrid w:val="0"/>
        <w:spacing w:before="104" w:line="215" w:lineRule="auto"/>
        <w:ind w:left="2668"/>
        <w:jc w:val="left"/>
        <w:textAlignment w:val="baseline"/>
        <w:rPr>
          <w:rFonts w:ascii="仿宋" w:hAnsi="仿宋" w:eastAsia="仿宋" w:cs="仿宋"/>
          <w:snapToGrid w:val="0"/>
          <w:color w:val="000000"/>
          <w:kern w:val="0"/>
          <w:sz w:val="32"/>
          <w:szCs w:val="32"/>
        </w:rPr>
      </w:pPr>
      <w:r>
        <w:rPr>
          <w:rFonts w:hint="eastAsia" w:ascii="仿宋" w:hAnsi="仿宋" w:eastAsia="仿宋" w:cs="仿宋"/>
          <w:snapToGrid w:val="0"/>
          <w:color w:val="000000"/>
          <w:spacing w:val="1"/>
          <w:kern w:val="0"/>
          <w:sz w:val="32"/>
          <w:szCs w:val="32"/>
        </w:rPr>
        <w:t>川外</w:t>
      </w:r>
      <w:r>
        <w:rPr>
          <w:rFonts w:ascii="仿宋" w:hAnsi="仿宋" w:eastAsia="仿宋" w:cs="仿宋"/>
          <w:snapToGrid w:val="0"/>
          <w:color w:val="000000"/>
          <w:kern w:val="0"/>
          <w:sz w:val="32"/>
          <w:szCs w:val="32"/>
        </w:rPr>
        <w:t>评</w:t>
      </w:r>
      <w:r>
        <w:rPr>
          <w:rFonts w:hint="eastAsia" w:ascii="仿宋" w:hAnsi="仿宋" w:eastAsia="仿宋" w:cs="仿宋"/>
          <w:snapToGrid w:val="0"/>
          <w:color w:val="000000"/>
          <w:kern w:val="0"/>
          <w:sz w:val="32"/>
          <w:szCs w:val="32"/>
        </w:rPr>
        <w:t>建</w:t>
      </w:r>
      <w:r>
        <w:rPr>
          <w:rFonts w:ascii="仿宋" w:hAnsi="仿宋" w:eastAsia="仿宋" w:cs="仿宋"/>
          <w:snapToGrid w:val="0"/>
          <w:color w:val="000000"/>
          <w:kern w:val="0"/>
          <w:sz w:val="32"/>
          <w:szCs w:val="32"/>
        </w:rPr>
        <w:t>办〔</w:t>
      </w:r>
      <w:r>
        <w:rPr>
          <w:rFonts w:ascii="Times New Roman" w:hAnsi="Times New Roman" w:eastAsia="Times New Roman" w:cs="Times New Roman"/>
          <w:snapToGrid w:val="0"/>
          <w:color w:val="000000"/>
          <w:kern w:val="0"/>
          <w:sz w:val="32"/>
          <w:szCs w:val="32"/>
        </w:rPr>
        <w:t>202</w:t>
      </w:r>
      <w:r>
        <w:rPr>
          <w:rFonts w:hint="eastAsia" w:ascii="Times New Roman" w:hAnsi="Times New Roman" w:eastAsia="宋体" w:cs="Times New Roman"/>
          <w:snapToGrid w:val="0"/>
          <w:color w:val="000000"/>
          <w:kern w:val="0"/>
          <w:sz w:val="32"/>
          <w:szCs w:val="32"/>
          <w:lang w:val="en-US" w:eastAsia="zh-CN"/>
        </w:rPr>
        <w:t>3</w:t>
      </w:r>
      <w:r>
        <w:rPr>
          <w:rFonts w:ascii="仿宋" w:hAnsi="仿宋" w:eastAsia="仿宋" w:cs="仿宋"/>
          <w:snapToGrid w:val="0"/>
          <w:color w:val="000000"/>
          <w:kern w:val="0"/>
          <w:sz w:val="32"/>
          <w:szCs w:val="32"/>
        </w:rPr>
        <w:t>〕</w:t>
      </w:r>
      <w:r>
        <w:rPr>
          <w:rFonts w:hint="eastAsia" w:ascii="Times New Roman" w:hAnsi="Times New Roman" w:eastAsia="等线" w:cs="Times New Roman"/>
          <w:snapToGrid w:val="0"/>
          <w:color w:val="000000"/>
          <w:kern w:val="0"/>
          <w:sz w:val="32"/>
          <w:szCs w:val="32"/>
          <w:lang w:val="en-US" w:eastAsia="zh-CN"/>
        </w:rPr>
        <w:t>13</w:t>
      </w:r>
      <w:bookmarkStart w:id="0" w:name="_GoBack"/>
      <w:bookmarkEnd w:id="0"/>
      <w:r>
        <w:rPr>
          <w:rFonts w:ascii="仿宋" w:hAnsi="仿宋" w:eastAsia="仿宋" w:cs="仿宋"/>
          <w:snapToGrid w:val="0"/>
          <w:color w:val="000000"/>
          <w:kern w:val="0"/>
          <w:sz w:val="32"/>
          <w:szCs w:val="32"/>
        </w:rPr>
        <w:t>号</w:t>
      </w:r>
    </w:p>
    <w:p>
      <w:pPr>
        <w:widowControl/>
        <w:kinsoku w:val="0"/>
        <w:autoSpaceDE w:val="0"/>
        <w:autoSpaceDN w:val="0"/>
        <w:adjustRightInd w:val="0"/>
        <w:snapToGrid w:val="0"/>
        <w:spacing w:before="169" w:line="71" w:lineRule="exact"/>
        <w:jc w:val="left"/>
        <w:textAlignment w:val="center"/>
        <w:rPr>
          <w:rFonts w:ascii="Arial" w:hAnsi="Arial" w:eastAsia="等线" w:cs="Arial"/>
          <w:snapToGrid w:val="0"/>
          <w:color w:val="000000"/>
          <w:kern w:val="0"/>
          <w:szCs w:val="21"/>
        </w:rPr>
      </w:pPr>
      <w:r>
        <mc:AlternateContent>
          <mc:Choice Requires="wps">
            <w:drawing>
              <wp:inline distT="0" distB="0" distL="114300" distR="114300">
                <wp:extent cx="5605780" cy="45720"/>
                <wp:effectExtent l="0" t="0" r="0" b="0"/>
                <wp:docPr id="1170065533" name="任意多边形 1170065533"/>
                <wp:cNvGraphicFramePr/>
                <a:graphic xmlns:a="http://schemas.openxmlformats.org/drawingml/2006/main">
                  <a:graphicData uri="http://schemas.microsoft.com/office/word/2010/wordprocessingShape">
                    <wps:wsp>
                      <wps:cNvSpPr>
                        <a:spLocks noChangeArrowheads="1"/>
                      </wps:cNvSpPr>
                      <wps:spPr bwMode="auto">
                        <a:xfrm>
                          <a:off x="0" y="0"/>
                          <a:ext cx="5605780" cy="45720"/>
                        </a:xfrm>
                        <a:custGeom>
                          <a:avLst/>
                          <a:gdLst>
                            <a:gd name="T0" fmla="*/ 0 w 8827"/>
                            <a:gd name="T1" fmla="*/ 20 h 71"/>
                            <a:gd name="T2" fmla="*/ 8827 w 8827"/>
                            <a:gd name="T3" fmla="*/ 51 h 71"/>
                          </a:gdLst>
                          <a:ahLst/>
                          <a:cxnLst>
                            <a:cxn ang="0">
                              <a:pos x="T0" y="T1"/>
                            </a:cxn>
                            <a:cxn ang="0">
                              <a:pos x="T2" y="T3"/>
                            </a:cxn>
                          </a:cxnLst>
                          <a:rect l="0" t="0" r="r" b="b"/>
                          <a:pathLst>
                            <a:path w="8827" h="71">
                              <a:moveTo>
                                <a:pt x="0" y="20"/>
                              </a:moveTo>
                              <a:lnTo>
                                <a:pt x="8827" y="51"/>
                              </a:lnTo>
                            </a:path>
                          </a:pathLst>
                        </a:custGeom>
                        <a:noFill/>
                        <a:ln w="25400">
                          <a:solidFill>
                            <a:srgbClr val="FF0000"/>
                          </a:solidFill>
                          <a:round/>
                        </a:ln>
                        <a:effectLst/>
                      </wps:spPr>
                      <wps:bodyPr rot="0" vert="horz" wrap="square" lIns="91440" tIns="45720" rIns="91440" bIns="45720" anchor="t" anchorCtr="0" upright="1">
                        <a:noAutofit/>
                      </wps:bodyPr>
                    </wps:wsp>
                  </a:graphicData>
                </a:graphic>
              </wp:inline>
            </w:drawing>
          </mc:Choice>
          <mc:Fallback>
            <w:pict>
              <v:shape id="_x0000_s1026" o:spid="_x0000_s1026" o:spt="100" style="height:3.6pt;width:441.4pt;" filled="f" stroked="t" coordsize="8827,71" o:gfxdata="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Yduqy0wAAAAMBAAAPAAAAAAAAAAEAIAAAACIAAABkcnMvZG93&#10;bnJldi54bWxQSwECFAAUAAAACACHTuJAQHyjBOkCAAAdBgAADgAAAAAAAAABACAAAAAiAQAAZHJz&#10;L2Uyb0RvYy54bWxQSwUGAAAAAAYABgBZAQAAfQYAAAAA&#10;" path="m0,20l8827,51e">
                <v:path o:connectlocs="0,12878;5605780,32841" o:connectangles="0,0"/>
                <v:fill on="f" focussize="0,0"/>
                <v:stroke weight="2pt" color="#FF0000" joinstyle="round"/>
                <v:imagedata o:title=""/>
                <o:lock v:ext="edit" aspectratio="f"/>
                <w10:wrap type="none"/>
                <w10:anchorlock/>
              </v:shape>
            </w:pict>
          </mc:Fallback>
        </mc:AlternateContent>
      </w:r>
    </w:p>
    <w:p>
      <w:pPr>
        <w:widowControl/>
        <w:kinsoku w:val="0"/>
        <w:autoSpaceDE w:val="0"/>
        <w:autoSpaceDN w:val="0"/>
        <w:adjustRightInd w:val="0"/>
        <w:snapToGrid w:val="0"/>
        <w:spacing w:line="438" w:lineRule="auto"/>
        <w:jc w:val="left"/>
        <w:textAlignment w:val="baseline"/>
        <w:rPr>
          <w:rFonts w:ascii="Arial" w:hAnsi="Arial" w:eastAsia="等线" w:cs="Arial"/>
          <w:snapToGrid w:val="0"/>
          <w:color w:val="000000"/>
          <w:kern w:val="0"/>
          <w:szCs w:val="21"/>
        </w:rPr>
      </w:pPr>
    </w:p>
    <w:p>
      <w:pPr>
        <w:spacing w:line="586" w:lineRule="exact"/>
        <w:jc w:val="center"/>
        <w:rPr>
          <w:rFonts w:hint="eastAsia" w:ascii="宋体" w:hAnsi="宋体" w:eastAsia="宋体" w:cs="宋体"/>
          <w:b/>
          <w:bCs/>
          <w:sz w:val="44"/>
          <w:szCs w:val="44"/>
        </w:rPr>
      </w:pPr>
      <w:r>
        <w:rPr>
          <w:rFonts w:hint="eastAsia" w:ascii="宋体" w:hAnsi="宋体" w:eastAsia="宋体" w:cs="宋体"/>
          <w:b/>
          <w:bCs/>
          <w:sz w:val="44"/>
          <w:szCs w:val="44"/>
        </w:rPr>
        <w:t>关于做好迎接本科教育教学审核评估教学试卷、论文自查整改工作的通知</w:t>
      </w:r>
    </w:p>
    <w:p>
      <w:pPr>
        <w:spacing w:line="586" w:lineRule="exact"/>
        <w:rPr>
          <w:rFonts w:hint="eastAsia" w:ascii="华文仿宋" w:hAnsi="华文仿宋" w:eastAsia="华文仿宋"/>
          <w:sz w:val="32"/>
          <w:szCs w:val="32"/>
        </w:rPr>
      </w:pPr>
    </w:p>
    <w:p>
      <w:pPr>
        <w:spacing w:line="586" w:lineRule="exact"/>
        <w:rPr>
          <w:rFonts w:hint="eastAsia" w:ascii="华文仿宋" w:hAnsi="华文仿宋" w:eastAsia="华文仿宋" w:cs="Times New Roman"/>
          <w:sz w:val="32"/>
          <w:szCs w:val="32"/>
        </w:rPr>
      </w:pPr>
      <w:r>
        <w:rPr>
          <w:rFonts w:hint="eastAsia" w:ascii="华文仿宋" w:hAnsi="华文仿宋" w:eastAsia="华文仿宋" w:cs="Times New Roman"/>
          <w:sz w:val="32"/>
          <w:szCs w:val="32"/>
        </w:rPr>
        <w:t>各教学单位：</w:t>
      </w:r>
    </w:p>
    <w:p>
      <w:pPr>
        <w:spacing w:line="586" w:lineRule="exact"/>
        <w:ind w:firstLine="640" w:firstLineChars="200"/>
        <w:rPr>
          <w:rFonts w:hint="eastAsia" w:ascii="华文仿宋" w:hAnsi="华文仿宋" w:eastAsia="华文仿宋" w:cs="Times New Roman"/>
          <w:sz w:val="32"/>
          <w:szCs w:val="32"/>
        </w:rPr>
      </w:pPr>
      <w:r>
        <w:rPr>
          <w:rFonts w:hint="eastAsia" w:ascii="华文仿宋" w:hAnsi="华文仿宋" w:eastAsia="华文仿宋" w:cs="Times New Roman"/>
          <w:sz w:val="32"/>
          <w:szCs w:val="32"/>
        </w:rPr>
        <w:t>根据教育部《普通高等学校本科教育教学审核评估实施方案（2021-2025）》和《四川外国语大学本科教育教学审核评估工作方案》等文件精神，学校在线上评估阶段需根据专家要求提供和上传本科课程试卷和毕业论文（设计）等过程性与终结性材料。为扎实做好此项工作，请各教学单位依据学校《四川外国语大学试卷管理办法》（附件一）和《四川外国语大学本科毕业论文管理规程》（附件二）等相关制度规程，进一步做好本科教育教学期末试卷和毕业论文（设计）的自查整改工作。</w:t>
      </w:r>
    </w:p>
    <w:p>
      <w:pPr>
        <w:widowControl/>
        <w:kinsoku w:val="0"/>
        <w:autoSpaceDE w:val="0"/>
        <w:autoSpaceDN w:val="0"/>
        <w:adjustRightInd w:val="0"/>
        <w:snapToGrid w:val="0"/>
        <w:spacing w:line="596" w:lineRule="exact"/>
        <w:ind w:firstLine="632" w:firstLineChars="200"/>
        <w:jc w:val="left"/>
        <w:textAlignment w:val="baseline"/>
        <w:rPr>
          <w:rFonts w:hint="eastAsia" w:ascii="黑体" w:hAnsi="黑体" w:eastAsia="黑体" w:cs="黑体"/>
          <w:snapToGrid w:val="0"/>
          <w:color w:val="000000"/>
          <w:spacing w:val="-2"/>
          <w:kern w:val="0"/>
          <w:sz w:val="32"/>
          <w:szCs w:val="32"/>
        </w:rPr>
      </w:pPr>
      <w:r>
        <w:rPr>
          <w:rFonts w:hint="eastAsia" w:ascii="黑体" w:hAnsi="黑体" w:eastAsia="黑体" w:cs="黑体"/>
          <w:snapToGrid w:val="0"/>
          <w:color w:val="000000"/>
          <w:spacing w:val="-2"/>
          <w:kern w:val="0"/>
          <w:sz w:val="32"/>
          <w:szCs w:val="32"/>
        </w:rPr>
        <w:t>一、自查整改范围</w:t>
      </w:r>
    </w:p>
    <w:p>
      <w:pPr>
        <w:widowControl/>
        <w:kinsoku w:val="0"/>
        <w:autoSpaceDE w:val="0"/>
        <w:autoSpaceDN w:val="0"/>
        <w:adjustRightInd w:val="0"/>
        <w:snapToGrid w:val="0"/>
        <w:spacing w:line="596" w:lineRule="exact"/>
        <w:ind w:left="11" w:right="182" w:firstLine="659"/>
        <w:jc w:val="left"/>
        <w:textAlignment w:val="baseline"/>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本科教育教学审核评估材料提交时限：近三年</w:t>
      </w:r>
    </w:p>
    <w:p>
      <w:pPr>
        <w:widowControl/>
        <w:kinsoku w:val="0"/>
        <w:autoSpaceDE w:val="0"/>
        <w:autoSpaceDN w:val="0"/>
        <w:adjustRightInd w:val="0"/>
        <w:snapToGrid w:val="0"/>
        <w:spacing w:line="596" w:lineRule="exact"/>
        <w:ind w:left="11" w:right="182" w:firstLine="659"/>
        <w:jc w:val="left"/>
        <w:textAlignment w:val="baseline"/>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（一）自然年度：2020.1.1-2022.12.31</w:t>
      </w:r>
    </w:p>
    <w:p>
      <w:pPr>
        <w:widowControl/>
        <w:kinsoku w:val="0"/>
        <w:autoSpaceDE w:val="0"/>
        <w:autoSpaceDN w:val="0"/>
        <w:adjustRightInd w:val="0"/>
        <w:snapToGrid w:val="0"/>
        <w:spacing w:line="596" w:lineRule="exact"/>
        <w:ind w:left="11" w:right="182" w:firstLine="659"/>
        <w:jc w:val="left"/>
        <w:textAlignment w:val="baseline"/>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（二）学年度：2020.7.1-2023.6.30</w:t>
      </w:r>
    </w:p>
    <w:p>
      <w:pPr>
        <w:widowControl/>
        <w:numPr>
          <w:ilvl w:val="0"/>
          <w:numId w:val="0"/>
        </w:numPr>
        <w:kinsoku w:val="0"/>
        <w:autoSpaceDE w:val="0"/>
        <w:autoSpaceDN w:val="0"/>
        <w:adjustRightInd w:val="0"/>
        <w:snapToGrid w:val="0"/>
        <w:spacing w:line="596" w:lineRule="exact"/>
        <w:ind w:right="182" w:rightChars="0" w:firstLine="632" w:firstLineChars="200"/>
        <w:jc w:val="left"/>
        <w:textAlignment w:val="baseline"/>
        <w:rPr>
          <w:rFonts w:hint="eastAsia" w:ascii="黑体" w:hAnsi="黑体" w:eastAsia="黑体" w:cs="黑体"/>
          <w:snapToGrid w:val="0"/>
          <w:color w:val="000000"/>
          <w:spacing w:val="-2"/>
          <w:kern w:val="0"/>
          <w:sz w:val="32"/>
          <w:szCs w:val="32"/>
          <w:lang w:val="en-US" w:eastAsia="zh-CN"/>
        </w:rPr>
      </w:pPr>
      <w:r>
        <w:rPr>
          <w:rFonts w:hint="eastAsia" w:ascii="黑体" w:hAnsi="黑体" w:eastAsia="黑体" w:cs="黑体"/>
          <w:snapToGrid w:val="0"/>
          <w:color w:val="000000"/>
          <w:spacing w:val="-2"/>
          <w:kern w:val="0"/>
          <w:sz w:val="32"/>
          <w:szCs w:val="32"/>
          <w:lang w:val="en-US" w:eastAsia="zh-CN"/>
        </w:rPr>
        <w:t>二、自查整改内容</w:t>
      </w: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根据审核评估要求，线上评估阶段专家需调阅本科教育教学相关资料，尤为关注课程大纲、本科期末试卷和毕业论文（设计）等过程性与终结性材料。各教学单位应切实做好近三年本科期末试卷和毕业论文（设计）的管理工作，尤其是做好近三年本科期末试卷、论文一览表清单的收集、汇总和存档工作，确保文字、表格等形式和内容准确无误，在质量和管理两方面严格把关。</w:t>
      </w: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（一）本科期末试卷</w:t>
      </w: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 xml:space="preserve">1.自查试卷命题和制卷是否规范：命题是否符合教学大纲基本要求；题量大小和难易程度是否合理；印制是否经过审核并统一完成等。 </w:t>
      </w: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2.自查阅卷和成绩评定是否合理：教师阅卷评分是否严格执行标准并无错漏；教师批阅与核查更正等流程是否合乎规范；参考答案与评分标准是否正确合理；学生成绩录入是否无误；学生成绩是否反映真实的学习水平；成绩分布状态是否合理；特殊情况是否备注清晰等。</w:t>
      </w: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3.自查试卷分析是否全面：试卷分析资料是否齐全；对具体问题的分析是否具有针对性；对教学问题及其产生的原因是否分析到位；是否提出改进教学的意见和建议等。</w:t>
      </w: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4.自查试卷保管与存档是否到位：在试卷命题、送审、印制、领卷、分发、保管等环节是否保障到位；试卷印制与保管是否专人负责、专场存放；试卷存档材料是否齐全，试卷袋填写是否规范等。</w:t>
      </w: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5.自查是否符合学校在本科期末试卷管理方面的其他要求。</w:t>
      </w: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（二）本科毕业论文（设计）</w:t>
      </w: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1.自查师生指导关系确立机制是否规范：毕业论文指导教师是否具备相应资质；师生指导关系成立的工作流程是否合理；指导教师工作是否认真履行职责，是否及时下达毕业论文任务，并实事求是给予评阅意见与评定分数；教师指导人数是否合理等。</w:t>
      </w: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2.自查毕业论文选题与质量：选题是否难易适度，学生通过努力可以在规定时间内完成研究；选题设计的知识范围和理论深度是否符合在校所学和实践技能训练的实际情况；选题是否符合本专业人才培养目标和毕业生应具备的基本能力要求；选题形式是否符合要求等。</w:t>
      </w: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3.自查毕业论文开题情况：开题报告内容是否齐全完整；开题报告提交和存档是否规范等。</w:t>
      </w: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4.自查毕业论文撰写情况：是否及时撰写并在规定时间内完成；撰写内容、形式和格式等是否符合写作要求；指导教师是否做好相应指导情况记录等。</w:t>
      </w: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5.自查毕业论文结题与评阅情况：学生是否完成并提交；指导教师是否审核，并客观公正给出成绩和评语；学院对未审核或审核不合格的毕业论文的处理是否符合规范等。</w:t>
      </w: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6.自查毕业论文答辩情况：毕业论文答辩小组、时间、场地和答辩顺序等安排是否合理；答辩是否按照规定流程依次进行；答辩记录是否规范完整；对未参加答辩或者答辩成绩不合格等特殊情况的处理方式是否规范合理等。</w:t>
      </w: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7.自查优秀毕业论文评选是否合理：是否符合优秀毕业论文的评选标准；评选的数量和评选方式是否符合学校要求；是否规范存档并备案等。</w:t>
      </w: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8.自查毕业论文管理工作是否到位：是否完整收集和归档各项资料；是否及时统计、报送有关报表和文字材料；是否对毕业论文工作中的不足提出相应整改措施等。</w:t>
      </w: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9.自查是否符合学校在本科毕业论文（设计）管理方面的其他要求。</w:t>
      </w:r>
    </w:p>
    <w:p>
      <w:pPr>
        <w:widowControl/>
        <w:kinsoku w:val="0"/>
        <w:autoSpaceDE w:val="0"/>
        <w:autoSpaceDN w:val="0"/>
        <w:adjustRightInd w:val="0"/>
        <w:snapToGrid w:val="0"/>
        <w:spacing w:line="596" w:lineRule="exact"/>
        <w:ind w:firstLine="632" w:firstLineChars="200"/>
        <w:jc w:val="left"/>
        <w:textAlignment w:val="baseline"/>
        <w:rPr>
          <w:rFonts w:hint="eastAsia" w:ascii="黑体" w:hAnsi="黑体" w:eastAsia="黑体" w:cs="黑体"/>
          <w:snapToGrid w:val="0"/>
          <w:color w:val="000000"/>
          <w:spacing w:val="-2"/>
          <w:kern w:val="0"/>
          <w:sz w:val="32"/>
          <w:szCs w:val="32"/>
          <w:lang w:val="en-US" w:eastAsia="zh-CN"/>
        </w:rPr>
      </w:pPr>
      <w:r>
        <w:rPr>
          <w:rFonts w:hint="eastAsia" w:ascii="黑体" w:hAnsi="黑体" w:eastAsia="黑体" w:cs="黑体"/>
          <w:snapToGrid w:val="0"/>
          <w:color w:val="000000"/>
          <w:spacing w:val="-2"/>
          <w:kern w:val="0"/>
          <w:sz w:val="32"/>
          <w:szCs w:val="32"/>
          <w:lang w:val="en-US" w:eastAsia="zh-CN"/>
        </w:rPr>
        <w:t>三、注意事项</w:t>
      </w: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各教学单位要高度重视，加强组织领导，结合审核评估要求，认真做好此次本科教育教学期末试卷和毕业设计（论文）自查整改工作，对检查过程中发现的问题认真分析研判，有针对性地做出整改、反馈、修正与归档，为学校审核评估的顺利进行提供有力的资源保障。</w:t>
      </w: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请各教学单位针对此次全面自查整改情况形成书面总结报告，主要涵盖自查整改情况概括、存在的问题及解决措施等内容，并于6月30日前将自查整改报告反馈至教育规划与评估院（邮箱：jyghypgy600@163.com）。</w:t>
      </w: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 xml:space="preserve"> </w:t>
      </w: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附件：</w:t>
      </w:r>
    </w:p>
    <w:p>
      <w:pPr>
        <w:widowControl/>
        <w:shd w:val="clear" w:color="auto" w:fill="FFFFFF"/>
        <w:spacing w:line="360" w:lineRule="auto"/>
        <w:ind w:firstLine="1224" w:firstLineChars="4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1.《四川外国语大学试卷管理办法》</w:t>
      </w:r>
    </w:p>
    <w:p>
      <w:pPr>
        <w:widowControl/>
        <w:shd w:val="clear" w:color="auto" w:fill="FFFFFF"/>
        <w:spacing w:line="360" w:lineRule="auto"/>
        <w:ind w:firstLine="1224" w:firstLineChars="400"/>
        <w:jc w:val="both"/>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2.《四川外国语大学本科毕业论文管理规程》</w:t>
      </w:r>
    </w:p>
    <w:p>
      <w:pPr>
        <w:widowControl/>
        <w:shd w:val="clear" w:color="auto" w:fill="FFFFFF"/>
        <w:spacing w:line="360" w:lineRule="auto"/>
        <w:jc w:val="both"/>
        <w:rPr>
          <w:rFonts w:hint="eastAsia" w:ascii="仿宋" w:hAnsi="仿宋" w:eastAsia="仿宋" w:cs="仿宋"/>
          <w:snapToGrid w:val="0"/>
          <w:color w:val="000000"/>
          <w:spacing w:val="-7"/>
          <w:kern w:val="0"/>
          <w:sz w:val="32"/>
          <w:szCs w:val="32"/>
          <w:lang w:val="en-US" w:eastAsia="zh-CN" w:bidi="ar-SA"/>
        </w:rPr>
      </w:pP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p>
    <w:p>
      <w:pPr>
        <w:widowControl/>
        <w:kinsoku w:val="0"/>
        <w:autoSpaceDE w:val="0"/>
        <w:autoSpaceDN w:val="0"/>
        <w:adjustRightInd w:val="0"/>
        <w:snapToGrid w:val="0"/>
        <w:spacing w:line="596" w:lineRule="exact"/>
        <w:jc w:val="right"/>
        <w:textAlignment w:val="baseline"/>
        <w:rPr>
          <w:rFonts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四川外国语大学评建办公室</w:t>
      </w:r>
    </w:p>
    <w:p>
      <w:pPr>
        <w:widowControl/>
        <w:tabs>
          <w:tab w:val="left" w:pos="5397"/>
        </w:tabs>
        <w:kinsoku w:val="0"/>
        <w:autoSpaceDE w:val="0"/>
        <w:autoSpaceDN w:val="0"/>
        <w:adjustRightInd w:val="0"/>
        <w:snapToGrid w:val="0"/>
        <w:spacing w:line="596" w:lineRule="exact"/>
        <w:jc w:val="right"/>
        <w:textAlignment w:val="baseline"/>
        <w:rPr>
          <w:rFonts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（教育规划与评估院</w:t>
      </w:r>
      <w:r>
        <w:rPr>
          <w:rFonts w:ascii="仿宋" w:hAnsi="仿宋" w:eastAsia="仿宋" w:cs="仿宋"/>
          <w:snapToGrid w:val="0"/>
          <w:color w:val="000000"/>
          <w:kern w:val="0"/>
          <w:sz w:val="32"/>
          <w:szCs w:val="32"/>
        </w:rPr>
        <w:t>代章</w:t>
      </w:r>
      <w:r>
        <w:rPr>
          <w:rFonts w:hint="eastAsia" w:ascii="仿宋" w:hAnsi="仿宋" w:eastAsia="仿宋" w:cs="仿宋"/>
          <w:snapToGrid w:val="0"/>
          <w:color w:val="000000"/>
          <w:kern w:val="0"/>
          <w:sz w:val="32"/>
          <w:szCs w:val="32"/>
        </w:rPr>
        <w:t>）</w:t>
      </w:r>
    </w:p>
    <w:p>
      <w:pPr>
        <w:widowControl/>
        <w:kinsoku w:val="0"/>
        <w:autoSpaceDE w:val="0"/>
        <w:autoSpaceDN w:val="0"/>
        <w:adjustRightInd w:val="0"/>
        <w:snapToGrid w:val="0"/>
        <w:spacing w:line="596" w:lineRule="exact"/>
        <w:jc w:val="right"/>
        <w:textAlignment w:val="baseline"/>
        <w:rPr>
          <w:rFonts w:ascii="仿宋" w:hAnsi="仿宋" w:eastAsia="仿宋" w:cs="仿宋"/>
          <w:snapToGrid w:val="0"/>
          <w:color w:val="000000"/>
          <w:kern w:val="0"/>
          <w:sz w:val="32"/>
          <w:szCs w:val="32"/>
        </w:rPr>
      </w:pPr>
      <w:r>
        <w:rPr>
          <w:rFonts w:ascii="仿宋" w:hAnsi="仿宋" w:eastAsia="仿宋" w:cs="仿宋"/>
          <w:snapToGrid w:val="0"/>
          <w:color w:val="000000"/>
          <w:kern w:val="0"/>
          <w:sz w:val="32"/>
          <w:szCs w:val="32"/>
        </w:rPr>
        <w:t>202</w:t>
      </w:r>
      <w:r>
        <w:rPr>
          <w:rFonts w:hint="eastAsia" w:ascii="仿宋" w:hAnsi="仿宋" w:eastAsia="仿宋" w:cs="仿宋"/>
          <w:snapToGrid w:val="0"/>
          <w:color w:val="000000"/>
          <w:kern w:val="0"/>
          <w:sz w:val="32"/>
          <w:szCs w:val="32"/>
          <w:lang w:val="en-US" w:eastAsia="zh-CN"/>
        </w:rPr>
        <w:t>3</w:t>
      </w:r>
      <w:r>
        <w:rPr>
          <w:rFonts w:ascii="仿宋" w:hAnsi="仿宋" w:eastAsia="仿宋" w:cs="仿宋"/>
          <w:snapToGrid w:val="0"/>
          <w:color w:val="000000"/>
          <w:kern w:val="0"/>
          <w:sz w:val="32"/>
          <w:szCs w:val="32"/>
        </w:rPr>
        <w:t xml:space="preserve"> 年 </w:t>
      </w:r>
      <w:r>
        <w:rPr>
          <w:rFonts w:hint="eastAsia" w:ascii="仿宋" w:hAnsi="仿宋" w:eastAsia="仿宋" w:cs="仿宋"/>
          <w:snapToGrid w:val="0"/>
          <w:color w:val="000000"/>
          <w:kern w:val="0"/>
          <w:sz w:val="32"/>
          <w:szCs w:val="32"/>
          <w:lang w:val="en-US" w:eastAsia="zh-CN"/>
        </w:rPr>
        <w:t xml:space="preserve">6 </w:t>
      </w:r>
      <w:r>
        <w:rPr>
          <w:rFonts w:ascii="仿宋" w:hAnsi="仿宋" w:eastAsia="仿宋" w:cs="仿宋"/>
          <w:snapToGrid w:val="0"/>
          <w:color w:val="000000"/>
          <w:kern w:val="0"/>
          <w:sz w:val="32"/>
          <w:szCs w:val="32"/>
        </w:rPr>
        <w:t xml:space="preserve">月 </w:t>
      </w:r>
      <w:r>
        <w:rPr>
          <w:rFonts w:hint="eastAsia" w:ascii="仿宋" w:hAnsi="仿宋" w:eastAsia="仿宋" w:cs="仿宋"/>
          <w:snapToGrid w:val="0"/>
          <w:color w:val="000000"/>
          <w:kern w:val="0"/>
          <w:sz w:val="32"/>
          <w:szCs w:val="32"/>
          <w:lang w:val="en-US" w:eastAsia="zh-CN"/>
        </w:rPr>
        <w:t>15</w:t>
      </w:r>
      <w:r>
        <w:rPr>
          <w:rFonts w:ascii="仿宋" w:hAnsi="仿宋" w:eastAsia="仿宋" w:cs="仿宋"/>
          <w:snapToGrid w:val="0"/>
          <w:color w:val="000000"/>
          <w:kern w:val="0"/>
          <w:sz w:val="32"/>
          <w:szCs w:val="32"/>
        </w:rPr>
        <w:t xml:space="preserve"> 日</w:t>
      </w:r>
    </w:p>
    <w:p>
      <w:pPr>
        <w:widowControl/>
        <w:kinsoku w:val="0"/>
        <w:autoSpaceDE w:val="0"/>
        <w:autoSpaceDN w:val="0"/>
        <w:adjustRightInd w:val="0"/>
        <w:snapToGrid w:val="0"/>
        <w:spacing w:line="596" w:lineRule="exact"/>
        <w:jc w:val="left"/>
        <w:textAlignment w:val="baseline"/>
        <w:rPr>
          <w:rFonts w:hint="eastAsia" w:ascii="仿宋" w:hAnsi="仿宋" w:eastAsia="仿宋" w:cs="Arial"/>
          <w:snapToGrid w:val="0"/>
          <w:color w:val="000000"/>
          <w:kern w:val="0"/>
          <w:sz w:val="28"/>
          <w:szCs w:val="28"/>
        </w:rPr>
      </w:pPr>
    </w:p>
    <w:p>
      <w:pPr>
        <w:widowControl/>
        <w:kinsoku w:val="0"/>
        <w:autoSpaceDE w:val="0"/>
        <w:autoSpaceDN w:val="0"/>
        <w:adjustRightInd w:val="0"/>
        <w:snapToGrid w:val="0"/>
        <w:spacing w:line="596" w:lineRule="exact"/>
        <w:jc w:val="left"/>
        <w:textAlignment w:val="baseline"/>
        <w:rPr>
          <w:rFonts w:hint="eastAsia" w:ascii="仿宋" w:hAnsi="仿宋" w:eastAsia="仿宋" w:cs="Arial"/>
          <w:snapToGrid w:val="0"/>
          <w:color w:val="000000"/>
          <w:kern w:val="0"/>
          <w:sz w:val="28"/>
          <w:szCs w:val="28"/>
        </w:rPr>
      </w:pPr>
    </w:p>
    <w:p>
      <w:pPr>
        <w:widowControl/>
        <w:kinsoku w:val="0"/>
        <w:autoSpaceDE w:val="0"/>
        <w:autoSpaceDN w:val="0"/>
        <w:adjustRightInd w:val="0"/>
        <w:snapToGrid w:val="0"/>
        <w:spacing w:line="596" w:lineRule="exact"/>
        <w:jc w:val="left"/>
        <w:textAlignment w:val="baseline"/>
        <w:rPr>
          <w:rFonts w:hint="eastAsia" w:ascii="仿宋" w:hAnsi="仿宋" w:eastAsia="仿宋" w:cs="Arial"/>
          <w:snapToGrid w:val="0"/>
          <w:color w:val="000000"/>
          <w:kern w:val="0"/>
          <w:sz w:val="28"/>
          <w:szCs w:val="28"/>
        </w:rPr>
      </w:pPr>
    </w:p>
    <w:p>
      <w:pPr>
        <w:widowControl/>
        <w:kinsoku w:val="0"/>
        <w:autoSpaceDE w:val="0"/>
        <w:autoSpaceDN w:val="0"/>
        <w:adjustRightInd w:val="0"/>
        <w:snapToGrid w:val="0"/>
        <w:spacing w:line="596" w:lineRule="exact"/>
        <w:jc w:val="left"/>
        <w:textAlignment w:val="baseline"/>
        <w:rPr>
          <w:rFonts w:hint="eastAsia" w:ascii="仿宋" w:hAnsi="仿宋" w:eastAsia="仿宋" w:cs="Arial"/>
          <w:snapToGrid w:val="0"/>
          <w:color w:val="000000"/>
          <w:kern w:val="0"/>
          <w:sz w:val="28"/>
          <w:szCs w:val="28"/>
        </w:rPr>
      </w:pPr>
    </w:p>
    <w:p>
      <w:pPr>
        <w:widowControl/>
        <w:kinsoku w:val="0"/>
        <w:autoSpaceDE w:val="0"/>
        <w:autoSpaceDN w:val="0"/>
        <w:adjustRightInd w:val="0"/>
        <w:snapToGrid w:val="0"/>
        <w:spacing w:line="596" w:lineRule="exact"/>
        <w:jc w:val="left"/>
        <w:textAlignment w:val="baseline"/>
        <w:rPr>
          <w:rFonts w:hint="eastAsia" w:ascii="仿宋" w:hAnsi="仿宋" w:eastAsia="仿宋" w:cs="Arial"/>
          <w:snapToGrid w:val="0"/>
          <w:color w:val="000000"/>
          <w:kern w:val="0"/>
          <w:sz w:val="28"/>
          <w:szCs w:val="28"/>
        </w:rPr>
      </w:pPr>
    </w:p>
    <w:p>
      <w:pPr>
        <w:widowControl/>
        <w:kinsoku w:val="0"/>
        <w:autoSpaceDE w:val="0"/>
        <w:autoSpaceDN w:val="0"/>
        <w:adjustRightInd w:val="0"/>
        <w:snapToGrid w:val="0"/>
        <w:spacing w:line="596" w:lineRule="exact"/>
        <w:jc w:val="left"/>
        <w:textAlignment w:val="baseline"/>
        <w:rPr>
          <w:rFonts w:ascii="方正仿宋_GBK" w:hAnsi="方正仿宋_GBK" w:eastAsia="方正仿宋_GBK" w:cs="方正仿宋_GBK"/>
          <w:color w:val="000000"/>
          <w:kern w:val="0"/>
          <w:sz w:val="30"/>
          <w:szCs w:val="30"/>
          <w:lang w:bidi="ar"/>
        </w:rPr>
      </w:pPr>
      <w:r>
        <w:rPr>
          <w:rFonts w:ascii="Arial" w:hAnsi="Arial" w:eastAsia="等线" w:cs="Arial"/>
          <w:snapToGrid w:val="0"/>
          <w:color w:val="000000"/>
          <w:kern w:val="0"/>
          <w:szCs w:val="21"/>
        </w:rPr>
        <w:drawing>
          <wp:anchor distT="0" distB="0" distL="114300" distR="114300" simplePos="0" relativeHeight="251661312" behindDoc="0" locked="0" layoutInCell="0" allowOverlap="1">
            <wp:simplePos x="0" y="0"/>
            <wp:positionH relativeFrom="page">
              <wp:posOffset>1020445</wp:posOffset>
            </wp:positionH>
            <wp:positionV relativeFrom="page">
              <wp:posOffset>9480550</wp:posOffset>
            </wp:positionV>
            <wp:extent cx="565404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a:off x="0" y="0"/>
                      <a:ext cx="5654040" cy="8890"/>
                    </a:xfrm>
                    <a:prstGeom prst="rect">
                      <a:avLst/>
                    </a:prstGeom>
                    <a:noFill/>
                    <a:ln>
                      <a:noFill/>
                    </a:ln>
                  </pic:spPr>
                </pic:pic>
              </a:graphicData>
            </a:graphic>
          </wp:anchor>
        </w:drawing>
      </w:r>
      <w:r>
        <w:rPr>
          <w:rFonts w:ascii="Arial" w:hAnsi="Arial" w:eastAsia="等线" w:cs="Arial"/>
          <w:snapToGrid w:val="0"/>
          <w:color w:val="000000"/>
          <w:kern w:val="0"/>
          <w:szCs w:val="21"/>
        </w:rPr>
        <w:drawing>
          <wp:anchor distT="0" distB="0" distL="114300" distR="114300" simplePos="0" relativeHeight="251660288" behindDoc="0" locked="0" layoutInCell="0" allowOverlap="1">
            <wp:simplePos x="0" y="0"/>
            <wp:positionH relativeFrom="page">
              <wp:posOffset>1001395</wp:posOffset>
            </wp:positionH>
            <wp:positionV relativeFrom="page">
              <wp:posOffset>9200515</wp:posOffset>
            </wp:positionV>
            <wp:extent cx="5654040" cy="8890"/>
            <wp:effectExtent l="0" t="0" r="0" b="0"/>
            <wp:wrapNone/>
            <wp:docPr id="1" name="图片 4"/>
            <wp:cNvGraphicFramePr/>
            <a:graphic xmlns:a="http://schemas.openxmlformats.org/drawingml/2006/main">
              <a:graphicData uri="http://schemas.openxmlformats.org/drawingml/2006/picture">
                <pic:pic xmlns:pic="http://schemas.openxmlformats.org/drawingml/2006/picture">
                  <pic:nvPicPr>
                    <pic:cNvPr id="1" name="图片 4"/>
                    <pic:cNvPicPr/>
                  </pic:nvPicPr>
                  <pic:blipFill>
                    <a:blip r:embed="rId5"/>
                    <a:stretch>
                      <a:fillRect/>
                    </a:stretch>
                  </pic:blipFill>
                  <pic:spPr>
                    <a:xfrm>
                      <a:off x="0" y="0"/>
                      <a:ext cx="5654040" cy="8890"/>
                    </a:xfrm>
                    <a:prstGeom prst="rect">
                      <a:avLst/>
                    </a:prstGeom>
                    <a:noFill/>
                    <a:ln>
                      <a:noFill/>
                    </a:ln>
                  </pic:spPr>
                </pic:pic>
              </a:graphicData>
            </a:graphic>
          </wp:anchor>
        </w:drawing>
      </w:r>
      <w:r>
        <w:rPr>
          <w:rFonts w:hint="eastAsia" w:ascii="仿宋" w:hAnsi="仿宋" w:eastAsia="仿宋" w:cs="Arial"/>
          <w:snapToGrid w:val="0"/>
          <w:color w:val="000000"/>
          <w:kern w:val="0"/>
          <w:sz w:val="28"/>
          <w:szCs w:val="28"/>
        </w:rPr>
        <w:t>四川外国语大学评建办公室</w:t>
      </w:r>
      <w:r>
        <w:rPr>
          <w:rFonts w:ascii="仿宋" w:hAnsi="仿宋" w:eastAsia="仿宋" w:cs="Arial"/>
          <w:snapToGrid w:val="0"/>
          <w:color w:val="000000"/>
          <w:kern w:val="0"/>
          <w:sz w:val="28"/>
          <w:szCs w:val="28"/>
        </w:rPr>
        <w:t xml:space="preserve">                 202</w:t>
      </w:r>
      <w:r>
        <w:rPr>
          <w:rFonts w:hint="eastAsia" w:ascii="仿宋" w:hAnsi="仿宋" w:eastAsia="仿宋" w:cs="Arial"/>
          <w:snapToGrid w:val="0"/>
          <w:color w:val="000000"/>
          <w:kern w:val="0"/>
          <w:sz w:val="28"/>
          <w:szCs w:val="28"/>
          <w:lang w:val="en-US" w:eastAsia="zh-CN"/>
        </w:rPr>
        <w:t>3</w:t>
      </w:r>
      <w:r>
        <w:rPr>
          <w:rFonts w:hint="eastAsia" w:ascii="仿宋" w:hAnsi="仿宋" w:eastAsia="仿宋" w:cs="Arial"/>
          <w:snapToGrid w:val="0"/>
          <w:color w:val="000000"/>
          <w:kern w:val="0"/>
          <w:sz w:val="28"/>
          <w:szCs w:val="28"/>
        </w:rPr>
        <w:t>年</w:t>
      </w:r>
      <w:r>
        <w:rPr>
          <w:rFonts w:hint="eastAsia" w:ascii="仿宋" w:hAnsi="仿宋" w:eastAsia="仿宋" w:cs="Arial"/>
          <w:snapToGrid w:val="0"/>
          <w:color w:val="000000"/>
          <w:kern w:val="0"/>
          <w:sz w:val="28"/>
          <w:szCs w:val="28"/>
          <w:lang w:val="en-US" w:eastAsia="zh-CN"/>
        </w:rPr>
        <w:t>6</w:t>
      </w:r>
      <w:r>
        <w:rPr>
          <w:rFonts w:hint="eastAsia" w:ascii="仿宋" w:hAnsi="仿宋" w:eastAsia="仿宋" w:cs="Arial"/>
          <w:snapToGrid w:val="0"/>
          <w:color w:val="000000"/>
          <w:kern w:val="0"/>
          <w:sz w:val="28"/>
          <w:szCs w:val="28"/>
        </w:rPr>
        <w:t>月</w:t>
      </w:r>
      <w:r>
        <w:rPr>
          <w:rFonts w:hint="eastAsia" w:ascii="仿宋" w:hAnsi="仿宋" w:eastAsia="仿宋" w:cs="Arial"/>
          <w:snapToGrid w:val="0"/>
          <w:color w:val="000000"/>
          <w:kern w:val="0"/>
          <w:sz w:val="28"/>
          <w:szCs w:val="28"/>
          <w:lang w:val="en-US" w:eastAsia="zh-CN"/>
        </w:rPr>
        <w:t>15</w:t>
      </w:r>
      <w:r>
        <w:rPr>
          <w:rFonts w:hint="eastAsia" w:ascii="仿宋" w:hAnsi="仿宋" w:eastAsia="仿宋" w:cs="Arial"/>
          <w:snapToGrid w:val="0"/>
          <w:color w:val="000000"/>
          <w:kern w:val="0"/>
          <w:sz w:val="28"/>
          <w:szCs w:val="28"/>
        </w:rPr>
        <w:t>日印发</w:t>
      </w:r>
      <w:r>
        <w:rPr>
          <w:rFonts w:ascii="仿宋" w:hAnsi="仿宋" w:eastAsia="仿宋" w:cs="Arial"/>
          <w:snapToGrid w:val="0"/>
          <w:color w:val="000000"/>
          <w:kern w:val="0"/>
          <w:szCs w:val="21"/>
        </w:rPr>
        <w:t xml:space="preserve"> </w:t>
      </w:r>
    </w:p>
    <w:p>
      <w:pPr>
        <w:rPr>
          <w:rFonts w:ascii="Times New Roman" w:hAnsi="Times New Roman" w:eastAsia="微软雅黑" w:cs="Times New Roman"/>
          <w:sz w:val="28"/>
          <w:szCs w:val="28"/>
        </w:rPr>
      </w:pPr>
    </w:p>
    <w:sectPr>
      <w:footerReference r:id="rId3" w:type="default"/>
      <w:pgSz w:w="11906" w:h="16838"/>
      <w:pgMar w:top="1440" w:right="1800" w:bottom="1440" w:left="1800"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115040"/>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1ZTQ4ZDkyODU4YzAzMzM1NjU2MjlhZWU3YmY1NjQifQ=="/>
  </w:docVars>
  <w:rsids>
    <w:rsidRoot w:val="001652C1"/>
    <w:rsid w:val="00042298"/>
    <w:rsid w:val="000655AE"/>
    <w:rsid w:val="0008011C"/>
    <w:rsid w:val="000B15EE"/>
    <w:rsid w:val="000D3EF1"/>
    <w:rsid w:val="001032D6"/>
    <w:rsid w:val="0013403F"/>
    <w:rsid w:val="00150DA2"/>
    <w:rsid w:val="001652C1"/>
    <w:rsid w:val="001B79DF"/>
    <w:rsid w:val="001F1A59"/>
    <w:rsid w:val="001F256D"/>
    <w:rsid w:val="00203236"/>
    <w:rsid w:val="002257FA"/>
    <w:rsid w:val="00241555"/>
    <w:rsid w:val="00280EAB"/>
    <w:rsid w:val="002A4A9B"/>
    <w:rsid w:val="002B309D"/>
    <w:rsid w:val="002C0B4B"/>
    <w:rsid w:val="0030003F"/>
    <w:rsid w:val="00311E36"/>
    <w:rsid w:val="00323D98"/>
    <w:rsid w:val="003373D3"/>
    <w:rsid w:val="0036736C"/>
    <w:rsid w:val="003711AA"/>
    <w:rsid w:val="00386800"/>
    <w:rsid w:val="003D16DD"/>
    <w:rsid w:val="003E0CE2"/>
    <w:rsid w:val="00401746"/>
    <w:rsid w:val="00411E9B"/>
    <w:rsid w:val="004238B1"/>
    <w:rsid w:val="00466731"/>
    <w:rsid w:val="00472FBD"/>
    <w:rsid w:val="004B3ABF"/>
    <w:rsid w:val="004E38D5"/>
    <w:rsid w:val="00502FCD"/>
    <w:rsid w:val="005060AD"/>
    <w:rsid w:val="005307BB"/>
    <w:rsid w:val="0055381E"/>
    <w:rsid w:val="00554647"/>
    <w:rsid w:val="005804F0"/>
    <w:rsid w:val="005D24AD"/>
    <w:rsid w:val="005E5938"/>
    <w:rsid w:val="00615AE2"/>
    <w:rsid w:val="00646939"/>
    <w:rsid w:val="006601CD"/>
    <w:rsid w:val="006909B9"/>
    <w:rsid w:val="006C2360"/>
    <w:rsid w:val="006F098F"/>
    <w:rsid w:val="0076209F"/>
    <w:rsid w:val="00785F8E"/>
    <w:rsid w:val="0079619E"/>
    <w:rsid w:val="007B0BF1"/>
    <w:rsid w:val="007C0CA8"/>
    <w:rsid w:val="007F6991"/>
    <w:rsid w:val="00856AD8"/>
    <w:rsid w:val="00876510"/>
    <w:rsid w:val="00884DE1"/>
    <w:rsid w:val="008A598F"/>
    <w:rsid w:val="008B7A8C"/>
    <w:rsid w:val="008B7BB0"/>
    <w:rsid w:val="008D3BA2"/>
    <w:rsid w:val="008D455F"/>
    <w:rsid w:val="008F2D9B"/>
    <w:rsid w:val="0091101F"/>
    <w:rsid w:val="00916681"/>
    <w:rsid w:val="00930F65"/>
    <w:rsid w:val="0094252D"/>
    <w:rsid w:val="00973C37"/>
    <w:rsid w:val="00977187"/>
    <w:rsid w:val="00981655"/>
    <w:rsid w:val="009855E0"/>
    <w:rsid w:val="009A2939"/>
    <w:rsid w:val="009A4B44"/>
    <w:rsid w:val="009D3DB6"/>
    <w:rsid w:val="009E6FE5"/>
    <w:rsid w:val="009F16C8"/>
    <w:rsid w:val="009F5BD5"/>
    <w:rsid w:val="00A03B12"/>
    <w:rsid w:val="00A66A42"/>
    <w:rsid w:val="00A75EB3"/>
    <w:rsid w:val="00AA4AB3"/>
    <w:rsid w:val="00AC31FF"/>
    <w:rsid w:val="00AC49BC"/>
    <w:rsid w:val="00AC5C8E"/>
    <w:rsid w:val="00AD2B87"/>
    <w:rsid w:val="00AE68C6"/>
    <w:rsid w:val="00AF72EB"/>
    <w:rsid w:val="00B44903"/>
    <w:rsid w:val="00B91373"/>
    <w:rsid w:val="00BA2E1F"/>
    <w:rsid w:val="00BD17A7"/>
    <w:rsid w:val="00C23153"/>
    <w:rsid w:val="00C43DE0"/>
    <w:rsid w:val="00C44DCF"/>
    <w:rsid w:val="00C50262"/>
    <w:rsid w:val="00C61C26"/>
    <w:rsid w:val="00C76CAF"/>
    <w:rsid w:val="00C77F5A"/>
    <w:rsid w:val="00C87F19"/>
    <w:rsid w:val="00C94726"/>
    <w:rsid w:val="00CC013D"/>
    <w:rsid w:val="00D35676"/>
    <w:rsid w:val="00D91E94"/>
    <w:rsid w:val="00D94F07"/>
    <w:rsid w:val="00DC57F3"/>
    <w:rsid w:val="00DE4E38"/>
    <w:rsid w:val="00DF2F14"/>
    <w:rsid w:val="00E00E7D"/>
    <w:rsid w:val="00E35DA1"/>
    <w:rsid w:val="00E402BF"/>
    <w:rsid w:val="00E57745"/>
    <w:rsid w:val="00E81551"/>
    <w:rsid w:val="00EF02EC"/>
    <w:rsid w:val="00EF5ADD"/>
    <w:rsid w:val="00EF6A50"/>
    <w:rsid w:val="00EF6F94"/>
    <w:rsid w:val="00F82A51"/>
    <w:rsid w:val="00F8448B"/>
    <w:rsid w:val="00F9180D"/>
    <w:rsid w:val="00FA4D04"/>
    <w:rsid w:val="00FE0FBB"/>
    <w:rsid w:val="00FE3FFF"/>
    <w:rsid w:val="00FF0DA7"/>
    <w:rsid w:val="00FF2629"/>
    <w:rsid w:val="022C6982"/>
    <w:rsid w:val="05B11678"/>
    <w:rsid w:val="09304014"/>
    <w:rsid w:val="09777CFE"/>
    <w:rsid w:val="099E3F23"/>
    <w:rsid w:val="0B8F4BD0"/>
    <w:rsid w:val="0DFF76CB"/>
    <w:rsid w:val="0E88562B"/>
    <w:rsid w:val="0F6C5745"/>
    <w:rsid w:val="0F96257A"/>
    <w:rsid w:val="1090120B"/>
    <w:rsid w:val="12564D78"/>
    <w:rsid w:val="13DB4219"/>
    <w:rsid w:val="15763D45"/>
    <w:rsid w:val="18FE477D"/>
    <w:rsid w:val="1A077661"/>
    <w:rsid w:val="1A9D744A"/>
    <w:rsid w:val="1D0B08E2"/>
    <w:rsid w:val="1DF3CB16"/>
    <w:rsid w:val="230A5142"/>
    <w:rsid w:val="273E1825"/>
    <w:rsid w:val="2A5250A9"/>
    <w:rsid w:val="2B53097C"/>
    <w:rsid w:val="2D91146A"/>
    <w:rsid w:val="2E2073AA"/>
    <w:rsid w:val="2E8C5D5D"/>
    <w:rsid w:val="2FD70950"/>
    <w:rsid w:val="30A9668A"/>
    <w:rsid w:val="317C4450"/>
    <w:rsid w:val="33CB74FA"/>
    <w:rsid w:val="36D6243D"/>
    <w:rsid w:val="37AF26D3"/>
    <w:rsid w:val="37D76D1D"/>
    <w:rsid w:val="37F31485"/>
    <w:rsid w:val="39E81DA2"/>
    <w:rsid w:val="3BA65229"/>
    <w:rsid w:val="3F93536F"/>
    <w:rsid w:val="40A62E81"/>
    <w:rsid w:val="41FF4F3E"/>
    <w:rsid w:val="43F60DC3"/>
    <w:rsid w:val="46011565"/>
    <w:rsid w:val="464F4E9A"/>
    <w:rsid w:val="4ACB2FAA"/>
    <w:rsid w:val="4E142AD4"/>
    <w:rsid w:val="4F793397"/>
    <w:rsid w:val="500043CB"/>
    <w:rsid w:val="505D50B8"/>
    <w:rsid w:val="52C24F1D"/>
    <w:rsid w:val="598A17A8"/>
    <w:rsid w:val="5F743102"/>
    <w:rsid w:val="625B2F43"/>
    <w:rsid w:val="65B8702E"/>
    <w:rsid w:val="66FFD624"/>
    <w:rsid w:val="68293458"/>
    <w:rsid w:val="68B97345"/>
    <w:rsid w:val="6EDC7208"/>
    <w:rsid w:val="6EF2535F"/>
    <w:rsid w:val="6FFF2BD0"/>
    <w:rsid w:val="72DFF90E"/>
    <w:rsid w:val="72F03C15"/>
    <w:rsid w:val="73E7DD10"/>
    <w:rsid w:val="74732A9E"/>
    <w:rsid w:val="75331163"/>
    <w:rsid w:val="75AE7B06"/>
    <w:rsid w:val="766A6123"/>
    <w:rsid w:val="76BBF133"/>
    <w:rsid w:val="77DF02DD"/>
    <w:rsid w:val="79A27DE2"/>
    <w:rsid w:val="9C36306E"/>
    <w:rsid w:val="C77D9848"/>
    <w:rsid w:val="D5DFB6D2"/>
    <w:rsid w:val="DAEF369A"/>
    <w:rsid w:val="DFBE45ED"/>
    <w:rsid w:val="F37BDCE7"/>
    <w:rsid w:val="FBE641F6"/>
    <w:rsid w:val="FEFB6B9C"/>
    <w:rsid w:val="FEFF8DCA"/>
    <w:rsid w:val="FFF76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semiHidden/>
    <w:unhideWhenUsed/>
    <w:qFormat/>
    <w:uiPriority w:val="99"/>
    <w:rPr>
      <w:sz w:val="21"/>
      <w:szCs w:val="21"/>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customStyle="1" w:styleId="1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1791</Words>
  <Characters>1873</Characters>
  <Lines>13</Lines>
  <Paragraphs>3</Paragraphs>
  <TotalTime>2</TotalTime>
  <ScaleCrop>false</ScaleCrop>
  <LinksUpToDate>false</LinksUpToDate>
  <CharactersWithSpaces>1881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2021-12-14T11:12:00Z</dcterms:created>
  <dc:creator>81217</dc:creator>
  <cp:lastModifiedBy>预见</cp:lastModifiedBy>
  <cp:lastPrinted>2023-06-06T07:20:00Z</cp:lastPrinted>
  <dcterms:modified xsi:type="dcterms:W3CDTF">2023-06-26T08:58:14Z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E19C1BCBBF504D999EB138678F869C46_13</vt:lpwstr>
  </property>
</Properties>
</file>